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7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426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8 сентября 2025</w:t>
      </w:r>
      <w:r>
        <w:rPr>
          <w:rFonts w:ascii="Arial" w:hAnsi="Arial" w:cs="Arial"/>
          <w:color w:val="202122"/>
          <w:shd w:val="clear" w:color="auto" w:fill="ffffff"/>
        </w:rPr>
        <w:t xml:space="preserve"> года</w:t>
      </w: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</w:p>
    <w:p>
      <w:pPr>
        <w:ind w:left="30" w:right="30" w:hanging="30"/>
        <w:jc w:val="both"/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highlight w:val="none"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jc w:val="both"/>
        <w:spacing w:after="0" w:line="240" w:lineRule="auto"/>
        <w:rPr>
          <w:b/>
          <w:bCs/>
        </w:rPr>
      </w:pPr>
      <w:r>
        <w:rPr>
          <w:rFonts w:ascii="PT Astra Serif" w:hAnsi="PT Astra Serif" w:cs="PT Astra Serif"/>
          <w:b/>
          <w:bCs/>
          <w:color w:val="202122"/>
          <w:sz w:val="24"/>
          <w:szCs w:val="24"/>
        </w:rPr>
        <w:t xml:space="preserve">Востребована ли «гаражная амнистия» в Иркутской области?</w:t>
      </w:r>
      <w:r>
        <w:rPr>
          <w:rFonts w:ascii="PT Astra Serif" w:hAnsi="PT Astra Serif" w:cs="PT Astra Serif"/>
          <w:b/>
          <w:bCs/>
          <w:color w:val="202122"/>
          <w:sz w:val="24"/>
          <w:szCs w:val="24"/>
        </w:rPr>
      </w:r>
    </w:p>
    <w:p>
      <w:pPr>
        <w:jc w:val="both"/>
        <w:spacing w:after="0" w:line="240" w:lineRule="auto"/>
      </w:pPr>
      <w:r>
        <w:rPr>
          <w:rFonts w:ascii="PT Astra Serif" w:hAnsi="PT Astra Serif" w:cs="PT Astra Serif"/>
          <w:color w:val="202122"/>
          <w:sz w:val="24"/>
          <w:szCs w:val="24"/>
        </w:rPr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С 1 сентября 2021 года в России действует «гаражная амнистия» – упрощенный порядок получения права собственности на гаражные боксы и земельные участки под ними.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За 8 месяцев 2025 года жители Приангарья оформили право собственности на 700  гаражных боксов и на 1875 участков под ними.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Всего же за четыре года действия «гаражной амнистии» жители Иркутской области уже оформили в упрощенном порядке более 14 тысяч прав на гаражные боксы и земельные участки под ними. Общая площадь таких земель составила почти 269 тысяч квадратных метров.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Как поясняет заместитель руководителя Управления Росреестра по Иркутской области Оксана Викторовна Арсентьева, чтобы воспользоваться «гаражной амнистией», владельцу гаража нужно обратиться в администрацию по месту нахождения гаража с заявлением о предоставл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ении земельного участка под существующим гаражом. К заявлению нужно будет приложить любой документ, который подтверждает факт владения гаражом, например, справку о полной выплате паевых взносов.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Для оформления документов также может потребоваться межевой план на участок и технический план на гаражный бокс (если объекты ранее не ставились на государственный кадастровый учет). Межевой и технический план поможет подготовить кадастровый инженер.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В случае принятия органом местного самоуправления решения о предоставлении земельного участка, регистрация права собственности гражданина будет проведена даже без участия гражданина - по заявлению местной администрации.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«Гаражная амнистия» позволяет зарегистрировать право собственности на гаражи и участки под ними с помощью документов, которые ранее для этого не подходили. Речь идет о таких документах, как справки об оплате коммунальных услуг по гаражу, договор о подключен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ии гаража к сетям инженерно-технического обеспечения, документы о технической инвентаризации и другие документы, подтверждающие факт пользования гаражом.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Упрощенный порядок ранее распространялся только на одноэтажные гаражи. Теперь же можно зарегистрировать свое право как на двух- и более этажные блокированные гаражи (боксы) как на самостоятельный объект недвижимости, так и на земельный участок под такими бо</w:t>
      </w:r>
      <w:r>
        <w:rPr>
          <w:rFonts w:ascii="PT Astra Serif" w:hAnsi="PT Astra Serif" w:cs="PT Astra Serif"/>
          <w:color w:val="202122"/>
          <w:sz w:val="24"/>
          <w:szCs w:val="24"/>
        </w:rPr>
        <w:t xml:space="preserve">ксами.</w:t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contextualSpacing w:val="0"/>
        <w:jc w:val="both"/>
        <w:spacing w:before="0" w:after="113" w:line="240" w:lineRule="auto"/>
        <w:rPr>
          <w:rFonts w:ascii="PT Astra Serif" w:hAnsi="PT Astra Serif" w:cs="PT Astra Serif"/>
          <w:color w:val="202122"/>
          <w:sz w:val="24"/>
          <w:szCs w:val="24"/>
        </w:rPr>
        <w:suppressLineNumbers w:val="0"/>
      </w:pPr>
      <w:r>
        <w:rPr>
          <w:rFonts w:ascii="PT Astra Serif" w:hAnsi="PT Astra Serif" w:cs="PT Astra Serif"/>
          <w:color w:val="202122"/>
          <w:sz w:val="24"/>
          <w:szCs w:val="24"/>
        </w:rPr>
        <w:t xml:space="preserve">Ваши вопросы по данной теме можно задать по справочному телефону Управления Росреестра по Иркутской области 8(3952) 450-150.</w:t>
      </w:r>
      <w:r>
        <w:rPr>
          <w:rFonts w:ascii="PT Astra Serif" w:hAnsi="PT Astra Serif" w:cs="PT Astra Serif"/>
          <w:color w:val="202122"/>
          <w:sz w:val="24"/>
          <w:szCs w:val="24"/>
        </w:rPr>
      </w:r>
      <w:r>
        <w:rPr>
          <w:rFonts w:ascii="PT Astra Serif" w:hAnsi="PT Astra Serif" w:cs="PT Astra Serif"/>
          <w:color w:val="202122"/>
          <w:sz w:val="24"/>
          <w:szCs w:val="24"/>
        </w:rPr>
      </w:r>
    </w:p>
    <w:p>
      <w:pPr>
        <w:jc w:val="both"/>
        <w:spacing w:after="0" w:line="240" w:lineRule="auto"/>
        <w:rPr>
          <w:rFonts w:ascii="Arial" w:hAnsi="Arial" w:cs="Arial"/>
          <w:color w:val="202122"/>
          <w:sz w:val="24"/>
          <w:szCs w:val="24"/>
        </w:rPr>
      </w:pP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</w:p>
    <w:p>
      <w:pPr>
        <w:jc w:val="both"/>
        <w:spacing w:after="0" w:line="240" w:lineRule="auto"/>
        <w:rPr>
          <w:rFonts w:ascii="Arial" w:hAnsi="Arial" w:cs="Arial"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PT Astra Serif" w:hAnsi="PT Astra Serif" w:cs="PT Astra Serif"/>
          <w:i/>
          <w:color w:val="202122"/>
          <w:sz w:val="24"/>
          <w:szCs w:val="24"/>
          <w:shd w:val="clear" w:color="auto" w:fill="ffffff"/>
        </w:rPr>
      </w:pPr>
      <w:r>
        <w:rPr>
          <w:rFonts w:ascii="PT Astra Serif" w:hAnsi="PT Astra Serif" w:eastAsia="PT Astra Serif" w:cs="PT Astra Serif"/>
          <w:i/>
          <w:color w:val="202122"/>
          <w:sz w:val="24"/>
          <w:szCs w:val="24"/>
          <w:shd w:val="clear" w:color="auto" w:fill="ffffff"/>
        </w:rPr>
        <w:t xml:space="preserve">Пресс-служба Управления </w:t>
      </w:r>
      <w:r>
        <w:rPr>
          <w:rFonts w:ascii="PT Astra Serif" w:hAnsi="PT Astra Serif" w:eastAsia="PT Astra Serif" w:cs="PT Astra Serif"/>
          <w:i/>
          <w:color w:val="202122"/>
          <w:sz w:val="24"/>
          <w:szCs w:val="24"/>
          <w:shd w:val="clear" w:color="auto" w:fill="ffffff"/>
        </w:rPr>
        <w:t xml:space="preserve">Росреестра</w:t>
      </w:r>
      <w:r>
        <w:rPr>
          <w:rFonts w:ascii="PT Astra Serif" w:hAnsi="PT Astra Serif" w:eastAsia="PT Astra Serif" w:cs="PT Astra Serif"/>
          <w:i/>
          <w:color w:val="202122"/>
          <w:sz w:val="24"/>
          <w:szCs w:val="24"/>
          <w:shd w:val="clear" w:color="auto" w:fill="ffffff"/>
        </w:rPr>
        <w:t xml:space="preserve"> по Иркутской области</w:t>
      </w:r>
      <w:r>
        <w:rPr>
          <w:rFonts w:ascii="PT Astra Serif" w:hAnsi="PT Astra Serif" w:cs="PT Astra Serif"/>
          <w:i/>
          <w:color w:val="202122"/>
          <w:sz w:val="24"/>
          <w:szCs w:val="24"/>
          <w:shd w:val="clear" w:color="auto" w:fill="ffffff"/>
        </w:rPr>
      </w:r>
      <w:r>
        <w:rPr>
          <w:rFonts w:ascii="PT Astra Serif" w:hAnsi="PT Astra Serif" w:cs="PT Astra Serif"/>
          <w:i/>
          <w:color w:val="202122"/>
          <w:sz w:val="24"/>
          <w:szCs w:val="24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709" w:right="849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Balloon Text"/>
    <w:basedOn w:val="829"/>
    <w:link w:val="83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4" w:customStyle="1">
    <w:name w:val="Текст выноски Знак"/>
    <w:basedOn w:val="830"/>
    <w:link w:val="833"/>
    <w:uiPriority w:val="99"/>
    <w:semiHidden/>
    <w:rPr>
      <w:rFonts w:ascii="Segoe UI" w:hAnsi="Segoe UI" w:cs="Segoe UI"/>
      <w:sz w:val="18"/>
      <w:szCs w:val="18"/>
    </w:rPr>
  </w:style>
  <w:style w:type="character" w:styleId="835">
    <w:name w:val="Hyperlink"/>
    <w:basedOn w:val="830"/>
    <w:uiPriority w:val="99"/>
    <w:unhideWhenUsed/>
    <w:rPr>
      <w:color w:val="0563c1" w:themeColor="hyperlink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table" w:styleId="837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8" w:customStyle="1">
    <w:name w:val="object"/>
    <w:basedOn w:val="830"/>
  </w:style>
  <w:style w:type="paragraph" w:styleId="839">
    <w:name w:val="Normal (Web)"/>
    <w:basedOn w:val="82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39</cp:revision>
  <dcterms:created xsi:type="dcterms:W3CDTF">2022-05-25T09:41:00Z</dcterms:created>
  <dcterms:modified xsi:type="dcterms:W3CDTF">2025-09-05T06:11:58Z</dcterms:modified>
</cp:coreProperties>
</file>